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964" w:rsidRDefault="00532964" w:rsidP="00532964">
      <w:pPr>
        <w:pBdr>
          <w:top w:val="single" w:sz="4" w:space="1" w:color="auto"/>
          <w:left w:val="single" w:sz="4" w:space="4" w:color="auto"/>
          <w:bottom w:val="single" w:sz="4" w:space="1" w:color="auto"/>
          <w:right w:val="single" w:sz="4" w:space="4" w:color="auto"/>
        </w:pBdr>
        <w:rPr>
          <w:rFonts w:ascii="Arial" w:hAnsi="Arial"/>
          <w:b/>
          <w:color w:val="000000"/>
        </w:rPr>
      </w:pPr>
      <w:r>
        <w:rPr>
          <w:rFonts w:ascii="Arial" w:hAnsi="Arial"/>
          <w:b/>
          <w:color w:val="000000"/>
        </w:rPr>
        <w:t>PROGRAMA DE HISTORIA ECONÓMICA Y SOCIAL GENERAL</w:t>
      </w:r>
    </w:p>
    <w:p w:rsidR="00532964" w:rsidRDefault="00532964" w:rsidP="00532964">
      <w:pPr>
        <w:pBdr>
          <w:top w:val="single" w:sz="4" w:space="1" w:color="auto"/>
          <w:left w:val="single" w:sz="4" w:space="4" w:color="auto"/>
          <w:bottom w:val="single" w:sz="4" w:space="1" w:color="auto"/>
          <w:right w:val="single" w:sz="4" w:space="4" w:color="auto"/>
        </w:pBdr>
        <w:rPr>
          <w:rFonts w:ascii="Arial" w:hAnsi="Arial"/>
          <w:b/>
          <w:color w:val="000000"/>
        </w:rPr>
      </w:pPr>
      <w:r>
        <w:rPr>
          <w:rFonts w:ascii="Arial" w:hAnsi="Arial"/>
          <w:b/>
          <w:color w:val="000000"/>
        </w:rPr>
        <w:t>AÑO 6º - CICLO ESCOLAR 201</w:t>
      </w:r>
      <w:r w:rsidR="000F397C">
        <w:rPr>
          <w:rFonts w:ascii="Arial" w:hAnsi="Arial"/>
          <w:b/>
          <w:color w:val="000000"/>
        </w:rPr>
        <w:t>8</w:t>
      </w:r>
    </w:p>
    <w:p w:rsidR="00532964" w:rsidRDefault="00532964" w:rsidP="00532964">
      <w:pPr>
        <w:jc w:val="center"/>
        <w:rPr>
          <w:rFonts w:ascii="Arial" w:hAnsi="Arial"/>
          <w:b/>
          <w:color w:val="000000"/>
          <w:u w:val="single"/>
        </w:rPr>
      </w:pPr>
    </w:p>
    <w:p w:rsidR="00532964" w:rsidRDefault="00532964" w:rsidP="00532964">
      <w:pPr>
        <w:rPr>
          <w:rFonts w:ascii="Arial" w:hAnsi="Arial"/>
          <w:b/>
          <w:i/>
          <w:color w:val="000000"/>
          <w:sz w:val="22"/>
          <w:szCs w:val="22"/>
          <w:u w:val="single"/>
        </w:rPr>
      </w:pPr>
      <w:r>
        <w:rPr>
          <w:rFonts w:ascii="Arial" w:hAnsi="Arial"/>
          <w:b/>
          <w:i/>
          <w:color w:val="000000"/>
          <w:sz w:val="22"/>
          <w:szCs w:val="22"/>
          <w:u w:val="single"/>
        </w:rPr>
        <w:t>Marco Referencial</w:t>
      </w:r>
    </w:p>
    <w:p w:rsidR="00532964" w:rsidRDefault="00532964" w:rsidP="00532964">
      <w:pPr>
        <w:rPr>
          <w:rFonts w:ascii="Arial" w:hAnsi="Arial"/>
          <w:b/>
          <w:color w:val="000000"/>
          <w:sz w:val="22"/>
          <w:szCs w:val="22"/>
        </w:rPr>
      </w:pPr>
    </w:p>
    <w:p w:rsidR="00532964" w:rsidRDefault="00532964" w:rsidP="00532964">
      <w:pPr>
        <w:pStyle w:val="Textoindependiente"/>
        <w:rPr>
          <w:rFonts w:ascii="Arial" w:hAnsi="Arial"/>
          <w:sz w:val="22"/>
        </w:rPr>
      </w:pPr>
      <w:r>
        <w:rPr>
          <w:rFonts w:ascii="Arial" w:hAnsi="Arial"/>
          <w:i/>
          <w:sz w:val="22"/>
        </w:rPr>
        <w:t>Pobreza y exclusión social, la muerte del empleo, marginalidad y precariedad, deterioro del medio ambiente, desarrollo y subdesarrollo sustentable, el nuevo rol de la mujer, el papel del Estado</w:t>
      </w:r>
      <w:r>
        <w:rPr>
          <w:rFonts w:ascii="Arial" w:hAnsi="Arial"/>
          <w:sz w:val="22"/>
        </w:rPr>
        <w:t xml:space="preserve">. Estas son algunas de las categorías de análisis más frecuentes en nuestros días. Pero, ¿cómo llegamos hasta aquí desde el proyecto de la modernidad?, ¿cuál es la posición que los docentes formados en las “certezas” de la modernidad debemos adoptar, para contribuir a la formación de nuestros estudiantes inmersos en las “incertidumbres posmodernas”? Estas preguntas no admiten una respuesta única, exigen una construcción colectiva entre los distintos actores sociales de la comunidad académica. Por esta razón es fundamental articular los contenidos curriculares específicos con el área de las ciencias sociales (Economía, Filosofía, Ciencia Política, Sociología, Introducción al conocimiento de la sociedad y el Estado). </w:t>
      </w:r>
      <w:smartTag w:uri="urn:schemas-microsoft-com:office:smarttags" w:element="PersonName">
        <w:smartTagPr>
          <w:attr w:name="ProductID" w:val="La Historia"/>
        </w:smartTagPr>
        <w:r>
          <w:rPr>
            <w:rFonts w:ascii="Arial" w:hAnsi="Arial"/>
            <w:sz w:val="22"/>
          </w:rPr>
          <w:t>La Historia</w:t>
        </w:r>
      </w:smartTag>
      <w:r>
        <w:rPr>
          <w:rFonts w:ascii="Arial" w:hAnsi="Arial"/>
          <w:sz w:val="22"/>
        </w:rPr>
        <w:t xml:space="preserve"> es sin lugar a dudas, un eje transversal  ordenador. Nos ayuda a pensar y reflexionar, a indagar en el pasado posibles respuestas a las problemáticas actuales. El siguiente programa contiene los ejes modernidad – posmodernidad, y se propone rastrear en </w:t>
      </w:r>
      <w:smartTag w:uri="urn:schemas-microsoft-com:office:smarttags" w:element="PersonName">
        <w:smartTagPr>
          <w:attr w:name="ProductID" w:val="la Historia Universal"/>
        </w:smartTagPr>
        <w:r>
          <w:rPr>
            <w:rFonts w:ascii="Arial" w:hAnsi="Arial"/>
            <w:sz w:val="22"/>
          </w:rPr>
          <w:t>la Historia Universal</w:t>
        </w:r>
      </w:smartTag>
      <w:r>
        <w:rPr>
          <w:rFonts w:ascii="Arial" w:hAnsi="Arial"/>
          <w:sz w:val="22"/>
        </w:rPr>
        <w:t xml:space="preserve"> el surgimiento de los diferentes paradigmas que terminaron configurando al posindustrial. Para comprender la actual construcción de la realidad, fue necesario llegar a los albores del capitalismo en occidente, analizando el cambio de la mentalidad feudal a la mentalidad burguesa, el surgimiento y devenir histórico del Estado Moderno, la oposición de los sistemas económicos comparados (capitalismo y socialismo); la resemantización de los factores productivos, en especial el trabajo; la ruptura de la cadena lógica crecimiento - desarrollo – empleo. Tal vez, reflexionar sobre estos temas de manera crítica contribuya por un lado a una mejor comprensión del mundo del trabajo para nuestros estudiantes, quienes en breve deberán buscar alguna forma de inserción laboral y por el otro, a generar los cambios que la problemática actual reclama. </w:t>
      </w:r>
    </w:p>
    <w:p w:rsidR="00532964" w:rsidRDefault="00532964" w:rsidP="00532964">
      <w:pPr>
        <w:rPr>
          <w:rFonts w:ascii="Arial" w:hAnsi="Arial"/>
          <w:color w:val="000000"/>
          <w:sz w:val="22"/>
          <w:szCs w:val="22"/>
        </w:rPr>
      </w:pPr>
    </w:p>
    <w:p w:rsidR="00532964" w:rsidRDefault="00532964" w:rsidP="00532964">
      <w:pPr>
        <w:rPr>
          <w:rFonts w:ascii="Arial" w:hAnsi="Arial"/>
          <w:b/>
          <w:color w:val="000000"/>
          <w:sz w:val="22"/>
          <w:szCs w:val="22"/>
        </w:rPr>
      </w:pPr>
    </w:p>
    <w:p w:rsidR="00532964" w:rsidRDefault="00532964" w:rsidP="00532964">
      <w:pPr>
        <w:jc w:val="both"/>
        <w:rPr>
          <w:rFonts w:ascii="Arial" w:hAnsi="Arial"/>
          <w:color w:val="000000"/>
          <w:sz w:val="22"/>
          <w:szCs w:val="22"/>
        </w:rPr>
      </w:pPr>
      <w:r>
        <w:rPr>
          <w:rFonts w:ascii="Arial" w:hAnsi="Arial"/>
          <w:b/>
          <w:i/>
          <w:color w:val="000000"/>
          <w:sz w:val="22"/>
          <w:szCs w:val="22"/>
          <w:u w:val="single"/>
        </w:rPr>
        <w:t>Objetivos</w:t>
      </w:r>
      <w:r>
        <w:rPr>
          <w:rFonts w:ascii="Arial" w:hAnsi="Arial"/>
          <w:color w:val="000000"/>
          <w:sz w:val="22"/>
          <w:szCs w:val="22"/>
        </w:rPr>
        <w:t xml:space="preserve"> </w:t>
      </w:r>
    </w:p>
    <w:p w:rsidR="00532964" w:rsidRDefault="00532964" w:rsidP="00532964">
      <w:pPr>
        <w:jc w:val="both"/>
        <w:rPr>
          <w:rFonts w:ascii="Arial" w:hAnsi="Arial"/>
          <w:color w:val="000000"/>
          <w:sz w:val="22"/>
          <w:szCs w:val="22"/>
        </w:rPr>
      </w:pPr>
      <w:r>
        <w:rPr>
          <w:rFonts w:ascii="Arial" w:hAnsi="Arial"/>
          <w:color w:val="000000"/>
          <w:sz w:val="22"/>
          <w:szCs w:val="22"/>
        </w:rPr>
        <w:t>.</w:t>
      </w:r>
    </w:p>
    <w:p w:rsidR="00532964" w:rsidRDefault="00532964" w:rsidP="00532964">
      <w:pPr>
        <w:pStyle w:val="Textoindependiente"/>
        <w:ind w:left="360"/>
        <w:rPr>
          <w:rFonts w:ascii="Arial" w:hAnsi="Arial"/>
          <w:sz w:val="22"/>
          <w:lang w:val="es-ES_tradnl"/>
        </w:rPr>
      </w:pPr>
      <w:r>
        <w:rPr>
          <w:rFonts w:ascii="Arial" w:hAnsi="Arial"/>
          <w:sz w:val="22"/>
          <w:lang w:val="es-ES_tradnl"/>
        </w:rPr>
        <w:t>Que los alumnos:</w:t>
      </w:r>
    </w:p>
    <w:p w:rsidR="00532964" w:rsidRDefault="00532964" w:rsidP="00532964">
      <w:pPr>
        <w:pStyle w:val="Textoindependiente"/>
        <w:numPr>
          <w:ilvl w:val="0"/>
          <w:numId w:val="1"/>
        </w:numPr>
        <w:rPr>
          <w:rFonts w:ascii="Arial" w:hAnsi="Arial"/>
          <w:sz w:val="22"/>
          <w:lang w:val="es-ES_tradnl"/>
        </w:rPr>
      </w:pPr>
      <w:r>
        <w:rPr>
          <w:rFonts w:ascii="Arial" w:hAnsi="Arial"/>
          <w:sz w:val="22"/>
          <w:lang w:val="es-ES_tradnl"/>
        </w:rPr>
        <w:t>Accedan a la construcción crítica del conocimiento, incorporando las herramientas imprescindibles para la comprensión y la predicción factible de la realidad social, económica y política.</w:t>
      </w:r>
    </w:p>
    <w:p w:rsidR="00532964" w:rsidRDefault="00532964" w:rsidP="00532964">
      <w:pPr>
        <w:pStyle w:val="Textoindependiente"/>
        <w:numPr>
          <w:ilvl w:val="0"/>
          <w:numId w:val="1"/>
        </w:numPr>
        <w:rPr>
          <w:rFonts w:ascii="Arial" w:hAnsi="Arial"/>
          <w:sz w:val="22"/>
          <w:lang w:val="es-ES_tradnl"/>
        </w:rPr>
      </w:pPr>
      <w:r>
        <w:rPr>
          <w:rFonts w:ascii="Arial" w:hAnsi="Arial"/>
          <w:sz w:val="22"/>
          <w:lang w:val="es-ES_tradnl"/>
        </w:rPr>
        <w:t xml:space="preserve">Articulen los contenidos aprendidos en Economía I y II, de manera propedeútica al estudio de </w:t>
      </w:r>
      <w:smartTag w:uri="urn:schemas-microsoft-com:office:smarttags" w:element="PersonName">
        <w:smartTagPr>
          <w:attr w:name="ProductID" w:val="la Historia Econ￳mica."/>
        </w:smartTagPr>
        <w:r>
          <w:rPr>
            <w:rFonts w:ascii="Arial" w:hAnsi="Arial"/>
            <w:sz w:val="22"/>
            <w:lang w:val="es-ES_tradnl"/>
          </w:rPr>
          <w:t>la Historia Económica.</w:t>
        </w:r>
      </w:smartTag>
    </w:p>
    <w:p w:rsidR="00532964" w:rsidRDefault="00532964" w:rsidP="00532964">
      <w:pPr>
        <w:pStyle w:val="Textoindependiente"/>
        <w:ind w:left="360"/>
        <w:rPr>
          <w:rFonts w:ascii="Arial" w:hAnsi="Arial"/>
          <w:sz w:val="22"/>
          <w:lang w:val="es-ES_tradnl"/>
        </w:rPr>
      </w:pPr>
    </w:p>
    <w:p w:rsidR="00532964" w:rsidRDefault="00532964" w:rsidP="00532964">
      <w:pPr>
        <w:pStyle w:val="Textoindependiente"/>
        <w:numPr>
          <w:ilvl w:val="0"/>
          <w:numId w:val="1"/>
        </w:numPr>
        <w:rPr>
          <w:rFonts w:ascii="Arial" w:hAnsi="Arial"/>
          <w:sz w:val="22"/>
          <w:lang w:val="es-ES_tradnl"/>
        </w:rPr>
      </w:pPr>
      <w:r>
        <w:rPr>
          <w:rFonts w:ascii="Arial" w:hAnsi="Arial"/>
          <w:sz w:val="22"/>
          <w:lang w:val="es-ES_tradnl"/>
        </w:rPr>
        <w:t xml:space="preserve">Desarrollen una visión articulada de esta disciplina científica y la encuadren en el contexto más general de </w:t>
      </w:r>
      <w:smartTag w:uri="urn:schemas-microsoft-com:office:smarttags" w:element="PersonName">
        <w:smartTagPr>
          <w:attr w:name="ProductID" w:val="la Historia Universal."/>
        </w:smartTagPr>
        <w:r>
          <w:rPr>
            <w:rFonts w:ascii="Arial" w:hAnsi="Arial"/>
            <w:sz w:val="22"/>
            <w:lang w:val="es-ES_tradnl"/>
          </w:rPr>
          <w:t>la Historia Universal.</w:t>
        </w:r>
      </w:smartTag>
    </w:p>
    <w:p w:rsidR="00532964" w:rsidRDefault="00532964" w:rsidP="00532964">
      <w:pPr>
        <w:jc w:val="both"/>
        <w:rPr>
          <w:rFonts w:ascii="Arial" w:hAnsi="Arial"/>
          <w:color w:val="000000"/>
          <w:sz w:val="22"/>
          <w:szCs w:val="22"/>
          <w:lang w:val="es-ES_tradnl"/>
        </w:rPr>
      </w:pPr>
    </w:p>
    <w:p w:rsidR="00532964" w:rsidRDefault="00532964" w:rsidP="00532964">
      <w:pPr>
        <w:pStyle w:val="Textoindependiente"/>
        <w:numPr>
          <w:ilvl w:val="0"/>
          <w:numId w:val="1"/>
        </w:numPr>
        <w:rPr>
          <w:rFonts w:ascii="Arial" w:hAnsi="Arial"/>
          <w:sz w:val="22"/>
          <w:lang w:val="es-ES_tradnl"/>
        </w:rPr>
      </w:pPr>
      <w:r>
        <w:rPr>
          <w:rFonts w:ascii="Arial" w:hAnsi="Arial"/>
          <w:sz w:val="22"/>
          <w:lang w:val="es-ES_tradnl"/>
        </w:rPr>
        <w:t xml:space="preserve">Reflexionen críticamente acerca de los problemas y las posibilidades de desarrollo en nuestro país. </w:t>
      </w:r>
    </w:p>
    <w:p w:rsidR="00532964" w:rsidRDefault="00532964" w:rsidP="00532964">
      <w:pPr>
        <w:pStyle w:val="Textoindependiente"/>
        <w:numPr>
          <w:ilvl w:val="0"/>
          <w:numId w:val="1"/>
        </w:numPr>
        <w:rPr>
          <w:rFonts w:ascii="Arial" w:hAnsi="Arial"/>
          <w:sz w:val="22"/>
          <w:lang w:val="es-ES_tradnl"/>
        </w:rPr>
      </w:pPr>
      <w:r>
        <w:rPr>
          <w:rFonts w:ascii="Arial" w:hAnsi="Arial"/>
          <w:sz w:val="22"/>
          <w:lang w:val="es-ES_tradnl"/>
        </w:rPr>
        <w:t>Adquieran conocimientos que les permitan comprender los procesos históricos como un entramado y no como una sucesión de hechos.</w:t>
      </w:r>
    </w:p>
    <w:p w:rsidR="00532964" w:rsidRDefault="00532964" w:rsidP="00532964">
      <w:pPr>
        <w:jc w:val="both"/>
        <w:rPr>
          <w:rFonts w:ascii="Arial" w:hAnsi="Arial"/>
          <w:color w:val="000000"/>
          <w:sz w:val="22"/>
          <w:szCs w:val="22"/>
        </w:rPr>
      </w:pPr>
      <w:r>
        <w:rPr>
          <w:rFonts w:ascii="Arial" w:hAnsi="Arial"/>
          <w:color w:val="000000"/>
          <w:sz w:val="22"/>
          <w:szCs w:val="22"/>
        </w:rPr>
        <w:t>.</w:t>
      </w:r>
    </w:p>
    <w:p w:rsidR="00532964" w:rsidRDefault="00532964" w:rsidP="00532964">
      <w:pPr>
        <w:jc w:val="both"/>
        <w:rPr>
          <w:rFonts w:ascii="Arial" w:hAnsi="Arial"/>
          <w:b/>
          <w:color w:val="000000"/>
          <w:sz w:val="22"/>
          <w:szCs w:val="22"/>
        </w:rPr>
      </w:pPr>
    </w:p>
    <w:p w:rsidR="00532964" w:rsidRDefault="00532964" w:rsidP="00532964">
      <w:pPr>
        <w:jc w:val="both"/>
        <w:rPr>
          <w:rFonts w:ascii="Arial" w:hAnsi="Arial"/>
          <w:b/>
          <w:color w:val="000000"/>
          <w:sz w:val="22"/>
          <w:szCs w:val="22"/>
          <w:u w:val="single"/>
        </w:rPr>
      </w:pPr>
      <w:r>
        <w:rPr>
          <w:rFonts w:ascii="Arial" w:hAnsi="Arial"/>
          <w:b/>
          <w:i/>
          <w:color w:val="000000"/>
          <w:sz w:val="22"/>
          <w:szCs w:val="22"/>
          <w:u w:val="single"/>
        </w:rPr>
        <w:t>Criterios de evaluación</w:t>
      </w:r>
      <w:r>
        <w:rPr>
          <w:rFonts w:ascii="Arial" w:hAnsi="Arial"/>
          <w:b/>
          <w:color w:val="000000"/>
          <w:sz w:val="22"/>
          <w:szCs w:val="22"/>
          <w:u w:val="single"/>
        </w:rPr>
        <w:t xml:space="preserve"> </w:t>
      </w:r>
    </w:p>
    <w:p w:rsidR="00532964" w:rsidRPr="00B21656" w:rsidRDefault="00532964" w:rsidP="00532964">
      <w:pPr>
        <w:pStyle w:val="Textoindependiente2"/>
        <w:rPr>
          <w:sz w:val="22"/>
          <w:szCs w:val="22"/>
        </w:rPr>
      </w:pPr>
      <w:r w:rsidRPr="00B21656">
        <w:rPr>
          <w:sz w:val="22"/>
          <w:szCs w:val="22"/>
        </w:rPr>
        <w:t xml:space="preserve">Los alumnos realizarán trabajos prácticos con el formato de guías, basados en  films al finalizar cada unidad temática. Los alumnos presentarán un trabajo final domiciliario que integre los temas vistos en la cursada. Rige la evaluación numérica aprobada por </w:t>
      </w:r>
      <w:smartTag w:uri="urn:schemas-microsoft-com:office:smarttags" w:element="PersonName">
        <w:smartTagPr>
          <w:attr w:name="ProductID" w:val="la Escuela. Se"/>
        </w:smartTagPr>
        <w:r w:rsidRPr="00B21656">
          <w:rPr>
            <w:sz w:val="22"/>
            <w:szCs w:val="22"/>
          </w:rPr>
          <w:t>la Escuela. Se</w:t>
        </w:r>
      </w:smartTag>
      <w:r w:rsidRPr="00B21656">
        <w:rPr>
          <w:sz w:val="22"/>
          <w:szCs w:val="22"/>
        </w:rPr>
        <w:t xml:space="preserve"> tomarán dos exámenes parciales escritos presenciales. Se incluirá una instancia de </w:t>
      </w:r>
      <w:r w:rsidRPr="00B21656">
        <w:rPr>
          <w:sz w:val="22"/>
          <w:szCs w:val="22"/>
        </w:rPr>
        <w:lastRenderedPageBreak/>
        <w:t>recuperación. El promedio obtenido en los parciales es definitivo para la aprobación o no de la materia.</w:t>
      </w:r>
    </w:p>
    <w:p w:rsidR="00532964" w:rsidRDefault="00532964" w:rsidP="00532964">
      <w:pPr>
        <w:jc w:val="both"/>
        <w:rPr>
          <w:rFonts w:ascii="Arial" w:hAnsi="Arial" w:cs="Arial"/>
          <w:bCs/>
          <w:color w:val="000000"/>
          <w:sz w:val="22"/>
          <w:szCs w:val="22"/>
        </w:rPr>
      </w:pPr>
    </w:p>
    <w:p w:rsidR="00532964" w:rsidRDefault="00532964" w:rsidP="00532964">
      <w:pPr>
        <w:jc w:val="both"/>
        <w:rPr>
          <w:rFonts w:ascii="Arial" w:hAnsi="Arial"/>
          <w:b/>
          <w:color w:val="000000"/>
          <w:sz w:val="22"/>
          <w:szCs w:val="22"/>
          <w:u w:val="single"/>
        </w:rPr>
      </w:pPr>
    </w:p>
    <w:p w:rsidR="00532964" w:rsidRDefault="00532964" w:rsidP="00532964">
      <w:pPr>
        <w:jc w:val="both"/>
        <w:rPr>
          <w:rFonts w:ascii="Arial" w:hAnsi="Arial"/>
          <w:b/>
          <w:i/>
          <w:color w:val="000000"/>
          <w:sz w:val="22"/>
          <w:szCs w:val="22"/>
          <w:u w:val="single"/>
        </w:rPr>
      </w:pPr>
      <w:r>
        <w:rPr>
          <w:rFonts w:ascii="Arial" w:hAnsi="Arial"/>
          <w:b/>
          <w:i/>
          <w:color w:val="000000"/>
          <w:sz w:val="22"/>
          <w:szCs w:val="22"/>
          <w:u w:val="single"/>
        </w:rPr>
        <w:t>Unidades Temáticas</w:t>
      </w:r>
    </w:p>
    <w:p w:rsidR="00532964" w:rsidRDefault="00532964" w:rsidP="00532964">
      <w:pPr>
        <w:jc w:val="both"/>
        <w:rPr>
          <w:rFonts w:ascii="Arial" w:hAnsi="Arial"/>
          <w:bCs/>
          <w:iCs/>
          <w:color w:val="000000"/>
          <w:sz w:val="22"/>
          <w:szCs w:val="22"/>
        </w:rPr>
      </w:pPr>
    </w:p>
    <w:p w:rsidR="00532964" w:rsidRDefault="00532964" w:rsidP="00532964">
      <w:pPr>
        <w:pStyle w:val="Ttulo1"/>
      </w:pPr>
      <w:r>
        <w:t>Unidad 1</w:t>
      </w:r>
    </w:p>
    <w:p w:rsidR="00532964" w:rsidRDefault="00532964" w:rsidP="00532964">
      <w:pPr>
        <w:jc w:val="both"/>
        <w:rPr>
          <w:rFonts w:ascii="Arial" w:hAnsi="Arial"/>
          <w:b/>
          <w:color w:val="auto"/>
          <w:sz w:val="22"/>
        </w:rPr>
      </w:pPr>
    </w:p>
    <w:p w:rsidR="00532964" w:rsidRDefault="00532964" w:rsidP="00532964">
      <w:pPr>
        <w:jc w:val="both"/>
        <w:rPr>
          <w:rFonts w:ascii="Arial" w:hAnsi="Arial"/>
          <w:b/>
          <w:color w:val="auto"/>
          <w:sz w:val="22"/>
        </w:rPr>
      </w:pPr>
      <w:r>
        <w:rPr>
          <w:rFonts w:ascii="Arial" w:hAnsi="Arial"/>
          <w:b/>
          <w:color w:val="auto"/>
          <w:sz w:val="22"/>
        </w:rPr>
        <w:t xml:space="preserve">Introducción: </w:t>
      </w:r>
      <w:r>
        <w:rPr>
          <w:rFonts w:ascii="Arial" w:hAnsi="Arial"/>
          <w:color w:val="auto"/>
          <w:sz w:val="22"/>
        </w:rPr>
        <w:t>conceptos básicos. El método histórico. ¿Por qué Historia Económica?. Historia y desarrollo económico y social.</w:t>
      </w:r>
    </w:p>
    <w:p w:rsidR="00532964" w:rsidRDefault="00532964" w:rsidP="00532964">
      <w:pPr>
        <w:jc w:val="both"/>
        <w:rPr>
          <w:rFonts w:ascii="Arial" w:hAnsi="Arial"/>
          <w:b/>
          <w:color w:val="auto"/>
          <w:sz w:val="22"/>
        </w:rPr>
      </w:pPr>
    </w:p>
    <w:p w:rsidR="00532964" w:rsidRDefault="00532964" w:rsidP="00532964">
      <w:pPr>
        <w:pStyle w:val="Ttulo1"/>
      </w:pPr>
      <w:r>
        <w:t>Unidad 2</w:t>
      </w:r>
    </w:p>
    <w:p w:rsidR="00532964" w:rsidRDefault="00532964" w:rsidP="00532964">
      <w:pPr>
        <w:jc w:val="both"/>
        <w:rPr>
          <w:rFonts w:ascii="Arial" w:hAnsi="Arial"/>
          <w:b/>
          <w:color w:val="auto"/>
          <w:sz w:val="22"/>
        </w:rPr>
      </w:pPr>
    </w:p>
    <w:p w:rsidR="00532964" w:rsidRDefault="00532964" w:rsidP="00532964">
      <w:pPr>
        <w:jc w:val="both"/>
        <w:rPr>
          <w:rFonts w:ascii="Arial" w:hAnsi="Arial"/>
          <w:color w:val="auto"/>
          <w:sz w:val="22"/>
        </w:rPr>
      </w:pPr>
      <w:r>
        <w:rPr>
          <w:rFonts w:ascii="Arial" w:hAnsi="Arial"/>
          <w:b/>
          <w:color w:val="auto"/>
          <w:sz w:val="22"/>
        </w:rPr>
        <w:t>En busca del espíritu del capitalismo.</w:t>
      </w:r>
      <w:r>
        <w:rPr>
          <w:rFonts w:ascii="Arial" w:hAnsi="Arial"/>
          <w:color w:val="auto"/>
          <w:sz w:val="22"/>
        </w:rPr>
        <w:t xml:space="preserve"> Caracterización del modo de producción feudal. Debate entre Maurice Dobb y Paul Sweezy acerca del surgimiento del capitalismo. Hipótesis weberiana y teoría de la predestinación. </w:t>
      </w:r>
    </w:p>
    <w:p w:rsidR="00532964" w:rsidRDefault="00532964" w:rsidP="00532964">
      <w:pPr>
        <w:jc w:val="both"/>
        <w:rPr>
          <w:rFonts w:ascii="Arial" w:hAnsi="Arial"/>
          <w:b/>
          <w:color w:val="auto"/>
          <w:sz w:val="22"/>
        </w:rPr>
      </w:pPr>
    </w:p>
    <w:p w:rsidR="00532964" w:rsidRDefault="00532964" w:rsidP="00532964">
      <w:pPr>
        <w:pStyle w:val="Ttulo1"/>
      </w:pPr>
    </w:p>
    <w:p w:rsidR="00532964" w:rsidRDefault="00532964" w:rsidP="00532964">
      <w:pPr>
        <w:pStyle w:val="Ttulo1"/>
      </w:pPr>
      <w:r>
        <w:t>Unidad 3</w:t>
      </w:r>
    </w:p>
    <w:p w:rsidR="00532964" w:rsidRDefault="00532964" w:rsidP="00532964">
      <w:pPr>
        <w:jc w:val="both"/>
        <w:rPr>
          <w:rFonts w:ascii="Arial" w:hAnsi="Arial"/>
          <w:b/>
          <w:color w:val="auto"/>
          <w:sz w:val="22"/>
        </w:rPr>
      </w:pPr>
    </w:p>
    <w:p w:rsidR="00532964" w:rsidRDefault="00532964" w:rsidP="00532964">
      <w:pPr>
        <w:jc w:val="both"/>
        <w:rPr>
          <w:rFonts w:ascii="Arial" w:hAnsi="Arial"/>
          <w:b/>
          <w:color w:val="auto"/>
          <w:sz w:val="22"/>
        </w:rPr>
      </w:pPr>
      <w:r>
        <w:rPr>
          <w:rFonts w:ascii="Arial" w:hAnsi="Arial"/>
          <w:b/>
          <w:color w:val="auto"/>
          <w:sz w:val="22"/>
        </w:rPr>
        <w:t>Los fundamentos del mundo moderno:</w:t>
      </w:r>
      <w:r>
        <w:rPr>
          <w:rFonts w:ascii="Arial" w:hAnsi="Arial"/>
          <w:color w:val="auto"/>
          <w:sz w:val="22"/>
        </w:rPr>
        <w:t xml:space="preserve"> </w:t>
      </w:r>
      <w:r>
        <w:rPr>
          <w:rFonts w:ascii="Arial" w:hAnsi="Arial"/>
          <w:b/>
          <w:color w:val="auto"/>
          <w:sz w:val="22"/>
        </w:rPr>
        <w:t>Edad media tardía, reforma y Renacimiento.</w:t>
      </w:r>
      <w:r>
        <w:rPr>
          <w:rFonts w:ascii="Arial" w:hAnsi="Arial"/>
          <w:color w:val="auto"/>
          <w:sz w:val="22"/>
        </w:rPr>
        <w:t xml:space="preserve"> </w:t>
      </w:r>
      <w:r>
        <w:rPr>
          <w:rFonts w:ascii="Arial" w:hAnsi="Arial"/>
          <w:color w:val="auto"/>
          <w:sz w:val="22"/>
          <w:u w:val="single"/>
        </w:rPr>
        <w:t>Feudalismo tardío y capital comercial</w:t>
      </w:r>
      <w:r>
        <w:rPr>
          <w:rFonts w:ascii="Arial" w:hAnsi="Arial"/>
          <w:color w:val="auto"/>
          <w:sz w:val="22"/>
        </w:rPr>
        <w:t xml:space="preserve">. La época de la revolución de los precios: crecimiento poblacional, expansión agrícola, manufactura, comercio y finanzas. Revolución de los precios y proceso socioeconómico. </w:t>
      </w:r>
      <w:r>
        <w:rPr>
          <w:rFonts w:ascii="Arial" w:hAnsi="Arial"/>
          <w:color w:val="auto"/>
          <w:sz w:val="22"/>
          <w:u w:val="single"/>
        </w:rPr>
        <w:t>El primitivo Estado Moderno y la crisis del siglo XVII</w:t>
      </w:r>
      <w:r>
        <w:rPr>
          <w:rFonts w:ascii="Arial" w:hAnsi="Arial"/>
          <w:color w:val="auto"/>
          <w:sz w:val="22"/>
        </w:rPr>
        <w:t xml:space="preserve">. Estancamiento y crisis de la población. Agricultura, protoindustrialización y capital comercial. Contexto socioeconómico. El caso holandés. Las condiciones para la revolución industrial. Mercados coloniales y de exportación. </w:t>
      </w:r>
      <w:r>
        <w:rPr>
          <w:rFonts w:ascii="Arial" w:hAnsi="Arial"/>
          <w:color w:val="auto"/>
          <w:sz w:val="22"/>
          <w:u w:val="single"/>
        </w:rPr>
        <w:t>El auge del siglo XVIII.</w:t>
      </w:r>
      <w:r>
        <w:rPr>
          <w:rFonts w:ascii="Arial" w:hAnsi="Arial"/>
          <w:color w:val="auto"/>
          <w:sz w:val="22"/>
        </w:rPr>
        <w:t xml:space="preserve"> Crecimiento demográfico. Revolución agrícola. El camino hacia el capitalismo industrial. </w:t>
      </w:r>
    </w:p>
    <w:p w:rsidR="00532964" w:rsidRDefault="00532964" w:rsidP="00532964">
      <w:pPr>
        <w:jc w:val="both"/>
        <w:rPr>
          <w:rFonts w:ascii="Arial" w:hAnsi="Arial"/>
          <w:b/>
          <w:color w:val="auto"/>
          <w:sz w:val="22"/>
          <w:u w:val="single"/>
        </w:rPr>
      </w:pPr>
    </w:p>
    <w:p w:rsidR="00532964" w:rsidRDefault="00532964" w:rsidP="00532964">
      <w:pPr>
        <w:pStyle w:val="Ttulo1"/>
      </w:pPr>
      <w:r>
        <w:t>Unidad 4</w:t>
      </w:r>
    </w:p>
    <w:p w:rsidR="00532964" w:rsidRDefault="00532964" w:rsidP="00532964">
      <w:pPr>
        <w:jc w:val="both"/>
        <w:rPr>
          <w:rFonts w:ascii="Arial" w:hAnsi="Arial"/>
          <w:b/>
          <w:color w:val="auto"/>
          <w:sz w:val="22"/>
        </w:rPr>
      </w:pPr>
    </w:p>
    <w:p w:rsidR="00532964" w:rsidRDefault="00532964" w:rsidP="00532964">
      <w:pPr>
        <w:jc w:val="both"/>
        <w:rPr>
          <w:rFonts w:ascii="Arial" w:hAnsi="Arial"/>
          <w:color w:val="auto"/>
          <w:sz w:val="22"/>
        </w:rPr>
      </w:pPr>
      <w:r>
        <w:rPr>
          <w:rFonts w:ascii="Arial" w:hAnsi="Arial"/>
          <w:b/>
          <w:color w:val="auto"/>
          <w:sz w:val="22"/>
        </w:rPr>
        <w:t>El paradigma industrial: desarrollo del modo de producción capitalista en Gran Bretaña</w:t>
      </w:r>
      <w:r>
        <w:rPr>
          <w:rFonts w:ascii="Arial" w:hAnsi="Arial"/>
          <w:color w:val="auto"/>
          <w:sz w:val="22"/>
        </w:rPr>
        <w:t>. Un marco de referencia en torno a los orígenes de la revolución industrial. Modo de producción capitalista. Las máquinas y las nuevas técnicas. El surgimiento del “factory system”. Población, clases, lucha social y política en Gran Bretaña en la segunda mitad del siglo XVIII. La racionalización intelectual: cultura y revolución industrial. La revolución industrial y el proceso de industrialización.</w:t>
      </w:r>
    </w:p>
    <w:p w:rsidR="00532964" w:rsidRDefault="00532964" w:rsidP="00532964">
      <w:pPr>
        <w:jc w:val="both"/>
        <w:rPr>
          <w:rFonts w:ascii="Arial" w:hAnsi="Arial"/>
          <w:b/>
          <w:color w:val="auto"/>
          <w:sz w:val="22"/>
        </w:rPr>
      </w:pPr>
    </w:p>
    <w:p w:rsidR="00532964" w:rsidRDefault="00532964" w:rsidP="00532964">
      <w:pPr>
        <w:pStyle w:val="Ttulo1"/>
      </w:pPr>
    </w:p>
    <w:p w:rsidR="00532964" w:rsidRDefault="00532964" w:rsidP="00532964">
      <w:pPr>
        <w:pStyle w:val="Ttulo1"/>
      </w:pPr>
      <w:r>
        <w:t>Unidad 5</w:t>
      </w:r>
    </w:p>
    <w:p w:rsidR="00532964" w:rsidRDefault="00532964" w:rsidP="00532964">
      <w:pPr>
        <w:jc w:val="both"/>
        <w:rPr>
          <w:rFonts w:ascii="Arial" w:hAnsi="Arial"/>
          <w:b/>
          <w:color w:val="auto"/>
          <w:sz w:val="22"/>
        </w:rPr>
      </w:pPr>
    </w:p>
    <w:p w:rsidR="00532964" w:rsidRDefault="00532964" w:rsidP="00532964">
      <w:pPr>
        <w:jc w:val="both"/>
        <w:rPr>
          <w:rFonts w:ascii="Arial" w:hAnsi="Arial"/>
          <w:b/>
          <w:color w:val="auto"/>
          <w:sz w:val="22"/>
        </w:rPr>
      </w:pPr>
      <w:r>
        <w:rPr>
          <w:rFonts w:ascii="Arial" w:hAnsi="Arial"/>
          <w:b/>
          <w:color w:val="auto"/>
          <w:sz w:val="22"/>
        </w:rPr>
        <w:t>Cambios tecnológicos en la era del imperio (1875-1914)</w:t>
      </w:r>
      <w:r>
        <w:rPr>
          <w:rFonts w:ascii="Arial" w:hAnsi="Arial"/>
          <w:color w:val="auto"/>
          <w:sz w:val="22"/>
        </w:rPr>
        <w:t>. La revolución centenaria. Ferrocarril y revolución industrial. Tendido masivo de líneas férreas. Comercio marítimo y navegación a vapor. La segunda revolución industrial. Surgimiento de un nuevo paradigma tecnológico. El carbón como fuente de energía. El acero. El petróleo. Los motores de combustión interna. La electricidad. La industria química y su peso en la segunda revolución industrial. La gran empresa y las formas de organizar la producción y el trabajo. Taylorismo y fordismo. “</w:t>
      </w:r>
      <w:r>
        <w:rPr>
          <w:rFonts w:ascii="Arial" w:hAnsi="Arial"/>
          <w:color w:val="auto"/>
          <w:sz w:val="22"/>
          <w:u w:val="single"/>
        </w:rPr>
        <w:t>Trabajadores del mundo</w:t>
      </w:r>
      <w:r>
        <w:rPr>
          <w:rFonts w:ascii="Arial" w:hAnsi="Arial"/>
          <w:color w:val="auto"/>
          <w:sz w:val="22"/>
        </w:rPr>
        <w:t>”: el surgimiento de los partidos obreros. Los sindicatos. La nueva mujer. “</w:t>
      </w:r>
      <w:r>
        <w:rPr>
          <w:rFonts w:ascii="Arial" w:hAnsi="Arial"/>
          <w:color w:val="auto"/>
          <w:sz w:val="22"/>
          <w:u w:val="single"/>
        </w:rPr>
        <w:t>Banderas al viento: las naciones y el nacionalismo</w:t>
      </w:r>
      <w:r>
        <w:rPr>
          <w:rFonts w:ascii="Arial" w:hAnsi="Arial"/>
          <w:color w:val="auto"/>
          <w:sz w:val="22"/>
        </w:rPr>
        <w:t xml:space="preserve">”. </w:t>
      </w:r>
      <w:r>
        <w:rPr>
          <w:rFonts w:ascii="Arial" w:hAnsi="Arial"/>
          <w:color w:val="auto"/>
          <w:sz w:val="22"/>
          <w:lang w:val="en-US"/>
        </w:rPr>
        <w:t xml:space="preserve">Deutschland Ûber Alles. </w:t>
      </w:r>
      <w:r>
        <w:rPr>
          <w:rFonts w:ascii="Arial" w:hAnsi="Arial"/>
          <w:color w:val="auto"/>
          <w:sz w:val="22"/>
        </w:rPr>
        <w:t xml:space="preserve">Concentración económica. Estudio de casos: países escandinavos, Italia y Rusia. La expansión económica en el período 1850-1873. La retracción de la expansión entre 1873-1896. </w:t>
      </w:r>
      <w:smartTag w:uri="urn:schemas-microsoft-com:office:smarttags" w:element="PersonName">
        <w:smartTagPr>
          <w:attr w:name="ProductID" w:val="La Belle Epoque."/>
        </w:smartTagPr>
        <w:r>
          <w:rPr>
            <w:rFonts w:ascii="Arial" w:hAnsi="Arial"/>
            <w:color w:val="auto"/>
            <w:sz w:val="22"/>
          </w:rPr>
          <w:t>La Belle Epoque.</w:t>
        </w:r>
      </w:smartTag>
      <w:r>
        <w:rPr>
          <w:rFonts w:ascii="Arial" w:hAnsi="Arial"/>
          <w:color w:val="auto"/>
          <w:sz w:val="22"/>
        </w:rPr>
        <w:t xml:space="preserve"> Comercio internacional. Colonialismo e imperialismo. Migraciones, crecimiento demográfico y urbanización. De la paz a la guerra.</w:t>
      </w:r>
    </w:p>
    <w:p w:rsidR="00532964" w:rsidRDefault="00532964" w:rsidP="00532964">
      <w:pPr>
        <w:jc w:val="both"/>
        <w:rPr>
          <w:rFonts w:ascii="Arial" w:hAnsi="Arial"/>
          <w:b/>
          <w:color w:val="auto"/>
          <w:sz w:val="22"/>
          <w:u w:val="single"/>
        </w:rPr>
      </w:pPr>
    </w:p>
    <w:p w:rsidR="00532964" w:rsidRDefault="00532964" w:rsidP="00532964">
      <w:pPr>
        <w:pStyle w:val="Ttulo1"/>
      </w:pPr>
      <w:r>
        <w:lastRenderedPageBreak/>
        <w:t>Unidad 6</w:t>
      </w:r>
    </w:p>
    <w:p w:rsidR="00532964" w:rsidRDefault="00532964" w:rsidP="00532964">
      <w:pPr>
        <w:jc w:val="both"/>
        <w:rPr>
          <w:rFonts w:ascii="Arial" w:hAnsi="Arial"/>
          <w:b/>
          <w:color w:val="auto"/>
          <w:sz w:val="22"/>
        </w:rPr>
      </w:pPr>
    </w:p>
    <w:p w:rsidR="00532964" w:rsidRDefault="00532964" w:rsidP="00532964">
      <w:pPr>
        <w:jc w:val="both"/>
        <w:rPr>
          <w:rFonts w:ascii="Arial" w:hAnsi="Arial"/>
          <w:b/>
          <w:color w:val="auto"/>
          <w:sz w:val="22"/>
        </w:rPr>
      </w:pPr>
      <w:r>
        <w:rPr>
          <w:rFonts w:ascii="Arial" w:hAnsi="Arial"/>
          <w:b/>
          <w:color w:val="auto"/>
          <w:sz w:val="22"/>
        </w:rPr>
        <w:t>Relaciones económicas internacionales en el período 1914-1945</w:t>
      </w:r>
      <w:r>
        <w:rPr>
          <w:rFonts w:ascii="Arial" w:hAnsi="Arial"/>
          <w:color w:val="auto"/>
          <w:sz w:val="22"/>
        </w:rPr>
        <w:t xml:space="preserve">. La primera Guerra Mundial. La paz. Consecuencias económicas. Crisis de 1921. </w:t>
      </w:r>
      <w:smartTag w:uri="urn:schemas-microsoft-com:office:smarttags" w:element="PersonName">
        <w:smartTagPr>
          <w:attr w:name="ProductID" w:val="la Rep￺blica"/>
        </w:smartTagPr>
        <w:r>
          <w:rPr>
            <w:rFonts w:ascii="Arial" w:hAnsi="Arial"/>
            <w:color w:val="auto"/>
            <w:sz w:val="22"/>
          </w:rPr>
          <w:t>la República</w:t>
        </w:r>
      </w:smartTag>
      <w:r>
        <w:rPr>
          <w:rFonts w:ascii="Arial" w:hAnsi="Arial"/>
          <w:color w:val="auto"/>
          <w:sz w:val="22"/>
        </w:rPr>
        <w:t xml:space="preserve"> de Weimar y la hiperinflación del ’23. 1925-1929: cambios en la estructura industrial, productividad y racionalización. La vuelta al patrón oro. Situación hegemónica de Estados Unidos. </w:t>
      </w:r>
      <w:smartTag w:uri="urn:schemas-microsoft-com:office:smarttags" w:element="PersonName">
        <w:smartTagPr>
          <w:attr w:name="ProductID" w:val="La Revoluci￳n Rusa."/>
        </w:smartTagPr>
        <w:r>
          <w:rPr>
            <w:rFonts w:ascii="Arial" w:hAnsi="Arial"/>
            <w:color w:val="auto"/>
            <w:sz w:val="22"/>
          </w:rPr>
          <w:t>La Revolución Rusa.</w:t>
        </w:r>
      </w:smartTag>
      <w:r>
        <w:rPr>
          <w:rFonts w:ascii="Arial" w:hAnsi="Arial"/>
          <w:color w:val="auto"/>
          <w:sz w:val="22"/>
        </w:rPr>
        <w:t xml:space="preserve"> La crisis de la década del ’30. Orígenes y desarrollo de la crisis. Crack de </w:t>
      </w:r>
      <w:smartTag w:uri="urn:schemas-microsoft-com:office:smarttags" w:element="PersonName">
        <w:smartTagPr>
          <w:attr w:name="ProductID" w:val="la Bolsa"/>
        </w:smartTagPr>
        <w:r>
          <w:rPr>
            <w:rFonts w:ascii="Arial" w:hAnsi="Arial"/>
            <w:color w:val="auto"/>
            <w:sz w:val="22"/>
          </w:rPr>
          <w:t>la Bolsa</w:t>
        </w:r>
      </w:smartTag>
      <w:r>
        <w:rPr>
          <w:rFonts w:ascii="Arial" w:hAnsi="Arial"/>
          <w:color w:val="auto"/>
          <w:sz w:val="22"/>
        </w:rPr>
        <w:t xml:space="preserve"> de Nueva York y difusión hacia Europa y América Latina. Impacto en el escenario financiero internacional. Repercusiones en la teoría económica. Repliegue de las argumentaciones neoclásicas. New Deal. El ascenso del fascismo. Colectivización y planificación central en </w:t>
      </w:r>
      <w:smartTag w:uri="urn:schemas-microsoft-com:office:smarttags" w:element="PersonName">
        <w:smartTagPr>
          <w:attr w:name="ProductID" w:val="la Uni￳n Sovi￩tica."/>
        </w:smartTagPr>
        <w:r>
          <w:rPr>
            <w:rFonts w:ascii="Arial" w:hAnsi="Arial"/>
            <w:color w:val="auto"/>
            <w:sz w:val="22"/>
          </w:rPr>
          <w:t>la Unión Soviética.</w:t>
        </w:r>
      </w:smartTag>
      <w:r>
        <w:rPr>
          <w:rFonts w:ascii="Arial" w:hAnsi="Arial"/>
          <w:color w:val="auto"/>
          <w:sz w:val="22"/>
        </w:rPr>
        <w:t xml:space="preserve"> La segunda guerra mundial. Rol de </w:t>
      </w:r>
      <w:smartTag w:uri="urn:schemas-microsoft-com:office:smarttags" w:element="PersonName">
        <w:smartTagPr>
          <w:attr w:name="ProductID" w:val="la Uni￳n Sovi￩tica."/>
        </w:smartTagPr>
        <w:r>
          <w:rPr>
            <w:rFonts w:ascii="Arial" w:hAnsi="Arial"/>
            <w:color w:val="auto"/>
            <w:sz w:val="22"/>
          </w:rPr>
          <w:t>la Unión Soviética.</w:t>
        </w:r>
      </w:smartTag>
      <w:r>
        <w:rPr>
          <w:rFonts w:ascii="Arial" w:hAnsi="Arial"/>
          <w:color w:val="auto"/>
          <w:sz w:val="22"/>
        </w:rPr>
        <w:t xml:space="preserve"> Importancia del cambio tecnológico durante y después de la guerra. </w:t>
      </w:r>
    </w:p>
    <w:p w:rsidR="00532964" w:rsidRDefault="00532964" w:rsidP="00532964">
      <w:pPr>
        <w:jc w:val="both"/>
        <w:rPr>
          <w:rFonts w:ascii="Arial" w:hAnsi="Arial"/>
          <w:b/>
          <w:color w:val="auto"/>
          <w:sz w:val="22"/>
          <w:u w:val="single"/>
        </w:rPr>
      </w:pPr>
    </w:p>
    <w:p w:rsidR="00532964" w:rsidRDefault="00532964" w:rsidP="00532964">
      <w:pPr>
        <w:pStyle w:val="Ttulo1"/>
      </w:pPr>
      <w:r>
        <w:t>Unidad 7</w:t>
      </w:r>
    </w:p>
    <w:p w:rsidR="00532964" w:rsidRDefault="00532964" w:rsidP="00532964">
      <w:pPr>
        <w:jc w:val="both"/>
        <w:rPr>
          <w:rFonts w:ascii="Arial" w:hAnsi="Arial"/>
          <w:b/>
          <w:color w:val="auto"/>
          <w:sz w:val="22"/>
        </w:rPr>
      </w:pPr>
    </w:p>
    <w:p w:rsidR="00532964" w:rsidRDefault="00532964" w:rsidP="00532964">
      <w:pPr>
        <w:jc w:val="both"/>
        <w:rPr>
          <w:rFonts w:ascii="Arial" w:hAnsi="Arial"/>
          <w:b/>
          <w:color w:val="auto"/>
          <w:sz w:val="22"/>
        </w:rPr>
      </w:pPr>
      <w:r>
        <w:rPr>
          <w:rFonts w:ascii="Arial" w:hAnsi="Arial"/>
          <w:b/>
          <w:color w:val="auto"/>
          <w:sz w:val="22"/>
        </w:rPr>
        <w:t xml:space="preserve">De la paz de posguerra a la crisis de los años ’70. </w:t>
      </w:r>
      <w:r>
        <w:rPr>
          <w:rFonts w:ascii="Arial" w:hAnsi="Arial"/>
          <w:color w:val="auto"/>
          <w:sz w:val="22"/>
        </w:rPr>
        <w:t xml:space="preserve">El Plan Marshall. </w:t>
      </w:r>
      <w:smartTag w:uri="urn:schemas-microsoft-com:office:smarttags" w:element="PersonName">
        <w:smartTagPr>
          <w:attr w:name="ProductID" w:val="La Guerra Fr￭a."/>
        </w:smartTagPr>
        <w:r>
          <w:rPr>
            <w:rFonts w:ascii="Arial" w:hAnsi="Arial"/>
            <w:color w:val="auto"/>
            <w:sz w:val="22"/>
          </w:rPr>
          <w:t>La Guerra Fría.</w:t>
        </w:r>
      </w:smartTag>
      <w:r>
        <w:rPr>
          <w:rFonts w:ascii="Arial" w:hAnsi="Arial"/>
          <w:color w:val="auto"/>
          <w:sz w:val="22"/>
        </w:rPr>
        <w:t xml:space="preserve"> </w:t>
      </w:r>
      <w:r>
        <w:rPr>
          <w:rFonts w:ascii="Arial" w:hAnsi="Arial"/>
          <w:color w:val="auto"/>
          <w:sz w:val="22"/>
          <w:lang w:val="en-US"/>
        </w:rPr>
        <w:t xml:space="preserve">Economía mixta y Welfare State. </w:t>
      </w:r>
      <w:r>
        <w:rPr>
          <w:rFonts w:ascii="Arial" w:hAnsi="Arial"/>
          <w:color w:val="auto"/>
          <w:sz w:val="22"/>
        </w:rPr>
        <w:t xml:space="preserve">El nuevo rol del Estado en la distribución del ingreso. Avance tecnológico, aprovechamiento de las economías de escala y cambios en la organización empresarial. Oferta laboral: el nuevo rol de la mujer. Movimientos intracontinentales de población. La industrialización de la ciencia: articulación entre la investigación básica y la investigación para el desarrollo. La “Revolución tecnológica”. Polarización en el mercado de trabajo. Sociedad de consumo. Auge del comercio e integración internacional. </w:t>
      </w:r>
      <w:r>
        <w:rPr>
          <w:rFonts w:ascii="Arial" w:hAnsi="Arial"/>
          <w:color w:val="auto"/>
          <w:sz w:val="22"/>
          <w:lang w:val="en-US"/>
        </w:rPr>
        <w:t xml:space="preserve">GATT, </w:t>
      </w:r>
      <w:smartTag w:uri="urn:schemas-microsoft-com:office:smarttags" w:element="place">
        <w:r>
          <w:rPr>
            <w:rFonts w:ascii="Arial" w:hAnsi="Arial"/>
            <w:color w:val="auto"/>
            <w:sz w:val="22"/>
            <w:lang w:val="en-US"/>
          </w:rPr>
          <w:t>Benelux</w:t>
        </w:r>
      </w:smartTag>
      <w:r>
        <w:rPr>
          <w:rFonts w:ascii="Arial" w:hAnsi="Arial"/>
          <w:color w:val="auto"/>
          <w:sz w:val="22"/>
          <w:lang w:val="en-US"/>
        </w:rPr>
        <w:t xml:space="preserve">, CEE. </w:t>
      </w:r>
      <w:r>
        <w:rPr>
          <w:rFonts w:ascii="Arial" w:hAnsi="Arial"/>
          <w:color w:val="auto"/>
          <w:sz w:val="22"/>
        </w:rPr>
        <w:t xml:space="preserve">El nuevo orden monetario internacional. Estudio de casos: Estados Unidos, Gran Bretaña, Japón, Francia, Alemania, Europa del este. Expansión económica en el tercer mundo. Profundización de la dependencia en los países del hemisferio sur. La crisis de los años ’70: el petróleo, fin de la convertibilidad y espiral de precios-salarios. Desempleo. Los “Chicago boys” y las críticas al “Welfare State”. </w:t>
      </w:r>
    </w:p>
    <w:p w:rsidR="00532964" w:rsidRDefault="00532964" w:rsidP="00532964">
      <w:pPr>
        <w:jc w:val="both"/>
        <w:rPr>
          <w:rFonts w:ascii="Arial" w:hAnsi="Arial"/>
          <w:b/>
          <w:color w:val="auto"/>
          <w:sz w:val="22"/>
          <w:u w:val="single"/>
        </w:rPr>
      </w:pPr>
    </w:p>
    <w:p w:rsidR="00532964" w:rsidRDefault="00532964" w:rsidP="00532964">
      <w:pPr>
        <w:pStyle w:val="Ttulo1"/>
      </w:pPr>
      <w:r>
        <w:t>Unidad 8</w:t>
      </w:r>
    </w:p>
    <w:p w:rsidR="00532964" w:rsidRDefault="00532964" w:rsidP="00532964">
      <w:pPr>
        <w:jc w:val="both"/>
        <w:rPr>
          <w:rFonts w:ascii="Arial" w:hAnsi="Arial"/>
          <w:b/>
          <w:color w:val="auto"/>
          <w:sz w:val="22"/>
        </w:rPr>
      </w:pPr>
    </w:p>
    <w:p w:rsidR="00532964" w:rsidRDefault="00532964" w:rsidP="00532964">
      <w:pPr>
        <w:jc w:val="both"/>
        <w:rPr>
          <w:rFonts w:ascii="Arial" w:hAnsi="Arial"/>
          <w:color w:val="auto"/>
          <w:sz w:val="22"/>
        </w:rPr>
      </w:pPr>
      <w:r>
        <w:rPr>
          <w:rFonts w:ascii="Arial" w:hAnsi="Arial"/>
          <w:b/>
          <w:color w:val="auto"/>
          <w:sz w:val="22"/>
        </w:rPr>
        <w:t xml:space="preserve">El paradigma posindustrial. </w:t>
      </w:r>
      <w:r>
        <w:rPr>
          <w:rFonts w:ascii="Arial" w:hAnsi="Arial"/>
          <w:color w:val="auto"/>
          <w:sz w:val="22"/>
        </w:rPr>
        <w:t xml:space="preserve">Desarrollo, tecnología, naturaleza y sociedad. Muerte de la concepción decimonónica del trabajo. Aumento de la productividad, desocupación, subocupación, pobreza y marginalidad en los países desarrollados y subdesarrollados. Tierra, trabajo y capital: la resemantización de los factores productivos en la sociedad posindustrial. Desvinculación del capital financiero de la economía real. Costo de oportunidad de los proyectos de la economía real frente a las finanzas. La tecnología: impacto en las formas organizativas. Flexibilización y diferenciación de productos y servicios. Velocidad de transformación y globalización. Desintegración del círculo virtuoso entre crecimiento, desarrollo y nivel de empleo. </w:t>
      </w:r>
      <w:r>
        <w:rPr>
          <w:rFonts w:ascii="Arial" w:hAnsi="Arial"/>
          <w:color w:val="auto"/>
          <w:sz w:val="22"/>
          <w:u w:val="single"/>
        </w:rPr>
        <w:t>El rol del Estado en la sociedad posindustrial</w:t>
      </w:r>
      <w:r>
        <w:rPr>
          <w:rFonts w:ascii="Arial" w:hAnsi="Arial"/>
          <w:color w:val="auto"/>
          <w:sz w:val="22"/>
        </w:rPr>
        <w:t xml:space="preserve">. Seguro de desempleo. Reducción de la jornada laboral. El caso francés: las 35 horas semanales. </w:t>
      </w:r>
    </w:p>
    <w:p w:rsidR="000F397C" w:rsidRDefault="000F397C" w:rsidP="00532964">
      <w:pPr>
        <w:jc w:val="both"/>
        <w:rPr>
          <w:rFonts w:ascii="Arial" w:hAnsi="Arial"/>
          <w:bCs/>
          <w:iCs/>
          <w:color w:val="000000"/>
          <w:sz w:val="22"/>
          <w:szCs w:val="22"/>
        </w:rPr>
      </w:pPr>
      <w:bookmarkStart w:id="0" w:name="_GoBack"/>
      <w:bookmarkEnd w:id="0"/>
    </w:p>
    <w:p w:rsidR="00532964" w:rsidRDefault="00532964" w:rsidP="00532964">
      <w:pPr>
        <w:jc w:val="both"/>
        <w:rPr>
          <w:rFonts w:ascii="Arial" w:hAnsi="Arial"/>
          <w:b/>
          <w:i/>
          <w:color w:val="000000"/>
          <w:sz w:val="22"/>
          <w:szCs w:val="22"/>
          <w:u w:val="single"/>
        </w:rPr>
      </w:pPr>
      <w:r>
        <w:rPr>
          <w:rFonts w:ascii="Arial" w:hAnsi="Arial"/>
          <w:b/>
          <w:i/>
          <w:color w:val="000000"/>
          <w:sz w:val="22"/>
          <w:szCs w:val="22"/>
          <w:u w:val="single"/>
        </w:rPr>
        <w:t>Bibliografía</w:t>
      </w:r>
    </w:p>
    <w:p w:rsidR="00532964" w:rsidRDefault="00532964" w:rsidP="00532964">
      <w:pPr>
        <w:pStyle w:val="Textoindependiente2"/>
        <w:numPr>
          <w:ilvl w:val="0"/>
          <w:numId w:val="2"/>
        </w:numPr>
        <w:rPr>
          <w:sz w:val="22"/>
        </w:rPr>
      </w:pPr>
      <w:r>
        <w:rPr>
          <w:sz w:val="22"/>
        </w:rPr>
        <w:t xml:space="preserve">Berenblum, Rubén y otros: </w:t>
      </w:r>
      <w:r>
        <w:rPr>
          <w:b/>
          <w:sz w:val="22"/>
        </w:rPr>
        <w:t>Historia Económica y Social General.</w:t>
      </w:r>
      <w:r>
        <w:rPr>
          <w:sz w:val="22"/>
        </w:rPr>
        <w:t xml:space="preserve"> (2001) Ediciones Macchi. Segunda edición.</w:t>
      </w:r>
    </w:p>
    <w:p w:rsidR="00532964" w:rsidRDefault="00532964" w:rsidP="00532964">
      <w:pPr>
        <w:pStyle w:val="Textoindependiente2"/>
        <w:numPr>
          <w:ilvl w:val="0"/>
          <w:numId w:val="2"/>
        </w:numPr>
        <w:rPr>
          <w:sz w:val="22"/>
        </w:rPr>
      </w:pPr>
      <w:r>
        <w:rPr>
          <w:sz w:val="22"/>
        </w:rPr>
        <w:t>Saborido, Jorge y Berenblum, Rubén:</w:t>
      </w:r>
      <w:r>
        <w:rPr>
          <w:b/>
          <w:sz w:val="22"/>
        </w:rPr>
        <w:t xml:space="preserve"> Breve Historia Económica del siglo XX </w:t>
      </w:r>
      <w:r>
        <w:rPr>
          <w:sz w:val="22"/>
        </w:rPr>
        <w:t>(1999) Ediciones Macchi.</w:t>
      </w:r>
    </w:p>
    <w:p w:rsidR="00532964" w:rsidRDefault="00532964" w:rsidP="00532964">
      <w:pPr>
        <w:pStyle w:val="Textoindependiente2"/>
        <w:numPr>
          <w:ilvl w:val="0"/>
          <w:numId w:val="2"/>
        </w:numPr>
        <w:rPr>
          <w:sz w:val="22"/>
        </w:rPr>
      </w:pPr>
      <w:r>
        <w:rPr>
          <w:sz w:val="22"/>
        </w:rPr>
        <w:t>Kriedte, Peter:</w:t>
      </w:r>
      <w:r>
        <w:rPr>
          <w:b/>
          <w:sz w:val="22"/>
        </w:rPr>
        <w:t xml:space="preserve"> Feudalismo tardío y capital mercantil.</w:t>
      </w:r>
      <w:r>
        <w:rPr>
          <w:sz w:val="22"/>
        </w:rPr>
        <w:t xml:space="preserve"> (1986) Editorial Crítica. Barcelona.</w:t>
      </w:r>
    </w:p>
    <w:p w:rsidR="00532964" w:rsidRDefault="00532964" w:rsidP="00532964">
      <w:pPr>
        <w:pStyle w:val="Textoindependiente2"/>
        <w:numPr>
          <w:ilvl w:val="0"/>
          <w:numId w:val="2"/>
        </w:numPr>
        <w:rPr>
          <w:sz w:val="22"/>
        </w:rPr>
      </w:pPr>
      <w:r>
        <w:rPr>
          <w:sz w:val="22"/>
        </w:rPr>
        <w:t xml:space="preserve">Hobsbawm, Eric: </w:t>
      </w:r>
      <w:r>
        <w:rPr>
          <w:b/>
          <w:sz w:val="22"/>
        </w:rPr>
        <w:t>La era del imperio, 1875-1914.</w:t>
      </w:r>
      <w:r>
        <w:rPr>
          <w:sz w:val="22"/>
        </w:rPr>
        <w:t xml:space="preserve"> (1999) Biblioteca E. J. Hobsbawm de Historia Contemporánea. Editorial Crítica, Buenos Aires.</w:t>
      </w:r>
    </w:p>
    <w:p w:rsidR="00532964" w:rsidRDefault="00532964" w:rsidP="00532964">
      <w:pPr>
        <w:pStyle w:val="Textoindependiente2"/>
        <w:numPr>
          <w:ilvl w:val="0"/>
          <w:numId w:val="2"/>
        </w:numPr>
        <w:rPr>
          <w:sz w:val="22"/>
        </w:rPr>
      </w:pPr>
      <w:r>
        <w:rPr>
          <w:sz w:val="22"/>
        </w:rPr>
        <w:t>Mori, Giorgio:</w:t>
      </w:r>
      <w:r>
        <w:rPr>
          <w:b/>
          <w:sz w:val="22"/>
        </w:rPr>
        <w:t xml:space="preserve"> La revolución industrial. </w:t>
      </w:r>
      <w:r>
        <w:rPr>
          <w:sz w:val="22"/>
        </w:rPr>
        <w:t>(1983)Editorial Crítica, Barcelona.</w:t>
      </w:r>
    </w:p>
    <w:p w:rsidR="00532964" w:rsidRDefault="00532964" w:rsidP="00532964">
      <w:pPr>
        <w:pStyle w:val="Textoindependiente2"/>
        <w:numPr>
          <w:ilvl w:val="0"/>
          <w:numId w:val="2"/>
        </w:numPr>
        <w:rPr>
          <w:sz w:val="22"/>
          <w:lang w:val="es-ES_tradnl"/>
        </w:rPr>
      </w:pPr>
      <w:r>
        <w:rPr>
          <w:sz w:val="22"/>
        </w:rPr>
        <w:t>Marshall, Gordon:</w:t>
      </w:r>
      <w:r>
        <w:rPr>
          <w:b/>
          <w:sz w:val="22"/>
        </w:rPr>
        <w:t xml:space="preserve"> En busca del espíritu del capitalismo.</w:t>
      </w:r>
      <w:r>
        <w:rPr>
          <w:sz w:val="22"/>
        </w:rPr>
        <w:t xml:space="preserve"> Breviarios. (1986) Fondo de Cultura Económica. </w:t>
      </w:r>
      <w:r>
        <w:rPr>
          <w:sz w:val="22"/>
          <w:lang w:val="es-ES_tradnl"/>
        </w:rPr>
        <w:t>México.</w:t>
      </w:r>
    </w:p>
    <w:p w:rsidR="00532964" w:rsidRDefault="00532964" w:rsidP="00532964">
      <w:pPr>
        <w:pStyle w:val="Textoindependiente2"/>
        <w:numPr>
          <w:ilvl w:val="0"/>
          <w:numId w:val="2"/>
        </w:numPr>
        <w:rPr>
          <w:sz w:val="22"/>
          <w:lang w:val="es-ES_tradnl"/>
        </w:rPr>
      </w:pPr>
      <w:r>
        <w:rPr>
          <w:sz w:val="22"/>
          <w:lang w:val="es-ES_tradnl"/>
        </w:rPr>
        <w:lastRenderedPageBreak/>
        <w:t xml:space="preserve">Ashworth, William: </w:t>
      </w:r>
      <w:r>
        <w:rPr>
          <w:b/>
          <w:sz w:val="22"/>
          <w:lang w:val="es-ES_tradnl"/>
        </w:rPr>
        <w:t>Breve historia de la economía internacional. Desde 1850.</w:t>
      </w:r>
      <w:r>
        <w:rPr>
          <w:sz w:val="22"/>
          <w:lang w:val="es-ES_tradnl"/>
        </w:rPr>
        <w:t xml:space="preserve"> (1978) Fondo de Cultura Económica. España.</w:t>
      </w:r>
    </w:p>
    <w:p w:rsidR="00532964" w:rsidRDefault="00532964" w:rsidP="00532964">
      <w:pPr>
        <w:pStyle w:val="Textoindependiente2"/>
        <w:numPr>
          <w:ilvl w:val="0"/>
          <w:numId w:val="2"/>
        </w:numPr>
        <w:rPr>
          <w:sz w:val="22"/>
          <w:lang w:val="es-ES_tradnl"/>
        </w:rPr>
      </w:pPr>
      <w:r>
        <w:rPr>
          <w:sz w:val="22"/>
          <w:lang w:val="es-ES_tradnl"/>
        </w:rPr>
        <w:t xml:space="preserve">Ducassé, Pierre: </w:t>
      </w:r>
      <w:r>
        <w:rPr>
          <w:b/>
          <w:sz w:val="22"/>
          <w:lang w:val="es-ES_tradnl"/>
        </w:rPr>
        <w:t>Historia de las técnicas.</w:t>
      </w:r>
      <w:r>
        <w:rPr>
          <w:sz w:val="22"/>
          <w:lang w:val="es-ES_tradnl"/>
        </w:rPr>
        <w:t xml:space="preserve"> (1985) EUDEBA.</w:t>
      </w:r>
    </w:p>
    <w:p w:rsidR="00532964" w:rsidRDefault="00532964" w:rsidP="00532964">
      <w:pPr>
        <w:pStyle w:val="Textoindependiente2"/>
        <w:numPr>
          <w:ilvl w:val="0"/>
          <w:numId w:val="2"/>
        </w:numPr>
        <w:rPr>
          <w:sz w:val="22"/>
          <w:lang w:val="es-ES_tradnl"/>
        </w:rPr>
      </w:pPr>
      <w:r>
        <w:rPr>
          <w:sz w:val="22"/>
          <w:lang w:val="es-ES_tradnl"/>
        </w:rPr>
        <w:t>Bergeron, Louis y otros:</w:t>
      </w:r>
      <w:r>
        <w:rPr>
          <w:b/>
          <w:sz w:val="22"/>
          <w:lang w:val="es-ES_tradnl"/>
        </w:rPr>
        <w:t xml:space="preserve"> La época de las revoluciones europeas 178-1848.</w:t>
      </w:r>
      <w:r>
        <w:rPr>
          <w:sz w:val="22"/>
          <w:lang w:val="es-ES_tradnl"/>
        </w:rPr>
        <w:t xml:space="preserve"> (1986) Historia Universal Siglo XXI. Siglo Veintiuno Editores. España.</w:t>
      </w:r>
    </w:p>
    <w:p w:rsidR="00532964" w:rsidRDefault="00532964" w:rsidP="00532964">
      <w:pPr>
        <w:pStyle w:val="Textoindependiente2"/>
        <w:numPr>
          <w:ilvl w:val="0"/>
          <w:numId w:val="2"/>
        </w:numPr>
        <w:rPr>
          <w:sz w:val="22"/>
          <w:lang w:val="es-ES_tradnl"/>
        </w:rPr>
      </w:pPr>
      <w:r>
        <w:rPr>
          <w:sz w:val="22"/>
          <w:lang w:val="es-ES_tradnl"/>
        </w:rPr>
        <w:t xml:space="preserve">Romero, José Luis: </w:t>
      </w:r>
      <w:r>
        <w:rPr>
          <w:b/>
          <w:sz w:val="22"/>
          <w:lang w:val="es-ES_tradnl"/>
        </w:rPr>
        <w:t>Estudio dela mentalidad burguesa.</w:t>
      </w:r>
      <w:r>
        <w:rPr>
          <w:sz w:val="22"/>
          <w:lang w:val="es-ES_tradnl"/>
        </w:rPr>
        <w:t xml:space="preserve"> (1987) Alianza Bolsillo. Buenos Aires.</w:t>
      </w:r>
    </w:p>
    <w:p w:rsidR="00532964" w:rsidRDefault="00532964" w:rsidP="00532964">
      <w:pPr>
        <w:pStyle w:val="Textoindependiente2"/>
        <w:numPr>
          <w:ilvl w:val="0"/>
          <w:numId w:val="2"/>
        </w:numPr>
        <w:rPr>
          <w:sz w:val="22"/>
          <w:lang w:val="es-ES_tradnl"/>
        </w:rPr>
      </w:pPr>
      <w:r>
        <w:rPr>
          <w:sz w:val="22"/>
          <w:lang w:val="es-ES_tradnl"/>
        </w:rPr>
        <w:t xml:space="preserve">Van Dûlmen: </w:t>
      </w:r>
      <w:r>
        <w:rPr>
          <w:b/>
          <w:sz w:val="22"/>
          <w:lang w:val="es-ES_tradnl"/>
        </w:rPr>
        <w:t xml:space="preserve">Los inicios de </w:t>
      </w:r>
      <w:smartTag w:uri="urn:schemas-microsoft-com:office:smarttags" w:element="PersonName">
        <w:smartTagPr>
          <w:attr w:name="ProductID" w:val="la Europa"/>
        </w:smartTagPr>
        <w:r>
          <w:rPr>
            <w:b/>
            <w:sz w:val="22"/>
            <w:lang w:val="es-ES_tradnl"/>
          </w:rPr>
          <w:t>la Europa</w:t>
        </w:r>
      </w:smartTag>
      <w:r>
        <w:rPr>
          <w:b/>
          <w:sz w:val="22"/>
          <w:lang w:val="es-ES_tradnl"/>
        </w:rPr>
        <w:t xml:space="preserve"> moderna, 1550-1648.</w:t>
      </w:r>
      <w:r>
        <w:rPr>
          <w:sz w:val="22"/>
          <w:lang w:val="es-ES_tradnl"/>
        </w:rPr>
        <w:t xml:space="preserve"> (1984) Historia Universal Siglo XXI. Siglo Veintiuno Editores. España.</w:t>
      </w:r>
    </w:p>
    <w:p w:rsidR="00532964" w:rsidRDefault="00532964" w:rsidP="00532964">
      <w:pPr>
        <w:pStyle w:val="Textoindependiente2"/>
        <w:numPr>
          <w:ilvl w:val="0"/>
          <w:numId w:val="2"/>
        </w:numPr>
        <w:rPr>
          <w:sz w:val="22"/>
          <w:lang w:val="es-ES_tradnl"/>
        </w:rPr>
      </w:pPr>
      <w:r>
        <w:rPr>
          <w:sz w:val="22"/>
        </w:rPr>
        <w:t>Hobsbawm, Eric:</w:t>
      </w:r>
      <w:r>
        <w:rPr>
          <w:b/>
          <w:sz w:val="22"/>
        </w:rPr>
        <w:t xml:space="preserve"> En torno a los orígenes de </w:t>
      </w:r>
      <w:smartTag w:uri="urn:schemas-microsoft-com:office:smarttags" w:element="PersonName">
        <w:smartTagPr>
          <w:attr w:name="ProductID" w:val="la Revoluci￳n Industrial."/>
        </w:smartTagPr>
        <w:r>
          <w:rPr>
            <w:b/>
            <w:sz w:val="22"/>
          </w:rPr>
          <w:t>la Revolución Industrial.</w:t>
        </w:r>
      </w:smartTag>
      <w:r>
        <w:rPr>
          <w:sz w:val="22"/>
        </w:rPr>
        <w:t xml:space="preserve"> (1975) </w:t>
      </w:r>
      <w:r>
        <w:rPr>
          <w:sz w:val="22"/>
          <w:lang w:val="es-ES_tradnl"/>
        </w:rPr>
        <w:t>Siglo Veintiuno Editores. Argentina.</w:t>
      </w:r>
    </w:p>
    <w:p w:rsidR="00532964" w:rsidRDefault="00532964" w:rsidP="00532964">
      <w:pPr>
        <w:pStyle w:val="Textoindependiente2"/>
        <w:numPr>
          <w:ilvl w:val="0"/>
          <w:numId w:val="2"/>
        </w:numPr>
        <w:rPr>
          <w:sz w:val="22"/>
          <w:lang w:val="es-ES_tradnl"/>
        </w:rPr>
      </w:pPr>
      <w:r>
        <w:rPr>
          <w:sz w:val="22"/>
          <w:lang w:val="es-ES_tradnl"/>
        </w:rPr>
        <w:t xml:space="preserve">Romano, Ruggiero: </w:t>
      </w:r>
      <w:r>
        <w:rPr>
          <w:b/>
          <w:sz w:val="22"/>
          <w:lang w:val="es-ES_tradnl"/>
        </w:rPr>
        <w:t>Los fundamentos del mundo moderno. Edad media tardía, reforma, renacimiento.</w:t>
      </w:r>
      <w:r>
        <w:rPr>
          <w:sz w:val="22"/>
          <w:lang w:val="es-ES_tradnl"/>
        </w:rPr>
        <w:t xml:space="preserve"> (1985) Historia Universal Siglo XXI. Siglo Veintiuno Editores. México.</w:t>
      </w:r>
    </w:p>
    <w:p w:rsidR="00532964" w:rsidRDefault="00532964" w:rsidP="00532964">
      <w:pPr>
        <w:pStyle w:val="Textoindependiente2"/>
        <w:numPr>
          <w:ilvl w:val="0"/>
          <w:numId w:val="2"/>
        </w:numPr>
        <w:rPr>
          <w:sz w:val="22"/>
          <w:lang w:val="es-ES_tradnl"/>
        </w:rPr>
      </w:pPr>
      <w:r>
        <w:rPr>
          <w:sz w:val="22"/>
          <w:lang w:val="es-ES_tradnl"/>
        </w:rPr>
        <w:t>Palmade, Guy:</w:t>
      </w:r>
      <w:r>
        <w:rPr>
          <w:b/>
          <w:sz w:val="22"/>
          <w:lang w:val="es-ES_tradnl"/>
        </w:rPr>
        <w:t xml:space="preserve"> La época de la burguesía.</w:t>
      </w:r>
      <w:r>
        <w:rPr>
          <w:sz w:val="22"/>
          <w:lang w:val="es-ES_tradnl"/>
        </w:rPr>
        <w:t xml:space="preserve"> (1986) Historia Universal Siglo XXI. Siglo Veintiuno Editores. México.</w:t>
      </w:r>
    </w:p>
    <w:p w:rsidR="00532964" w:rsidRDefault="00532964" w:rsidP="00532964">
      <w:pPr>
        <w:pStyle w:val="Textoindependiente2"/>
        <w:numPr>
          <w:ilvl w:val="0"/>
          <w:numId w:val="2"/>
        </w:numPr>
        <w:rPr>
          <w:sz w:val="22"/>
          <w:lang w:val="es-ES_tradnl"/>
        </w:rPr>
      </w:pPr>
      <w:r>
        <w:rPr>
          <w:sz w:val="22"/>
          <w:lang w:val="es-ES_tradnl"/>
        </w:rPr>
        <w:t>Barudio, Gûnter:</w:t>
      </w:r>
      <w:r>
        <w:rPr>
          <w:b/>
          <w:sz w:val="22"/>
          <w:lang w:val="es-ES_tradnl"/>
        </w:rPr>
        <w:t xml:space="preserve"> La época del absolutismo y la ilustración, 1648-1779. </w:t>
      </w:r>
      <w:r>
        <w:rPr>
          <w:sz w:val="22"/>
          <w:lang w:val="es-ES_tradnl"/>
        </w:rPr>
        <w:t>(1983) Historia Universal Siglo XXI. Siglo Veintiuno Editores. México.</w:t>
      </w:r>
    </w:p>
    <w:p w:rsidR="00532964" w:rsidRDefault="00532964" w:rsidP="00532964">
      <w:pPr>
        <w:pStyle w:val="Textoindependiente2"/>
        <w:numPr>
          <w:ilvl w:val="0"/>
          <w:numId w:val="2"/>
        </w:numPr>
        <w:rPr>
          <w:sz w:val="22"/>
          <w:lang w:val="en-US"/>
        </w:rPr>
      </w:pPr>
      <w:r>
        <w:rPr>
          <w:sz w:val="22"/>
          <w:lang w:val="es-ES_tradnl"/>
        </w:rPr>
        <w:t xml:space="preserve">Kinder, Hermann y Hilgemann, Werner: </w:t>
      </w:r>
      <w:r>
        <w:rPr>
          <w:b/>
          <w:bCs/>
          <w:sz w:val="22"/>
          <w:lang w:val="es-ES_tradnl"/>
        </w:rPr>
        <w:t xml:space="preserve">Atlas histórico mundial. </w:t>
      </w:r>
      <w:r>
        <w:rPr>
          <w:sz w:val="22"/>
          <w:lang w:val="en-US"/>
        </w:rPr>
        <w:t>(Tomos I y II) Istmo. (2003)</w:t>
      </w:r>
    </w:p>
    <w:p w:rsidR="00532964" w:rsidRDefault="00532964" w:rsidP="00532964">
      <w:pPr>
        <w:rPr>
          <w:sz w:val="22"/>
        </w:rPr>
      </w:pPr>
    </w:p>
    <w:p w:rsidR="00532964" w:rsidRDefault="00532964" w:rsidP="00532964">
      <w:pPr>
        <w:rPr>
          <w:rFonts w:ascii="Arial" w:hAnsi="Arial" w:cs="Arial"/>
          <w:color w:val="000000"/>
          <w:sz w:val="22"/>
        </w:rPr>
      </w:pPr>
    </w:p>
    <w:p w:rsidR="00532964" w:rsidRDefault="00532964" w:rsidP="00532964"/>
    <w:p w:rsidR="00532964" w:rsidRDefault="00532964"/>
    <w:sectPr w:rsidR="00532964" w:rsidSect="007E1377">
      <w:headerReference w:type="default" r:id="rId7"/>
      <w:pgSz w:w="11906" w:h="16838" w:code="9"/>
      <w:pgMar w:top="1134" w:right="1134" w:bottom="1134" w:left="1683"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BB6" w:rsidRDefault="00E92BB6">
      <w:r>
        <w:separator/>
      </w:r>
    </w:p>
  </w:endnote>
  <w:endnote w:type="continuationSeparator" w:id="0">
    <w:p w:rsidR="00E92BB6" w:rsidRDefault="00E9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BB6" w:rsidRDefault="00E92BB6">
      <w:r>
        <w:separator/>
      </w:r>
    </w:p>
  </w:footnote>
  <w:footnote w:type="continuationSeparator" w:id="0">
    <w:p w:rsidR="00E92BB6" w:rsidRDefault="00E92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30D" w:rsidRPr="007E1377" w:rsidRDefault="00532964" w:rsidP="003163CC">
    <w:pPr>
      <w:pStyle w:val="Encabezado"/>
      <w:ind w:right="-415"/>
    </w:pPr>
    <w:r>
      <w:rPr>
        <w:noProof/>
      </w:rPr>
      <w:drawing>
        <wp:inline distT="0" distB="0" distL="0" distR="0" wp14:anchorId="51AF3DD3" wp14:editId="4AE3961A">
          <wp:extent cx="2133600" cy="1028700"/>
          <wp:effectExtent l="0" t="0" r="0" b="0"/>
          <wp:docPr id="2" name="Imagen 2" descr="ubaBicemt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baBicemtenar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1028700"/>
                  </a:xfrm>
                  <a:prstGeom prst="rect">
                    <a:avLst/>
                  </a:prstGeom>
                  <a:noFill/>
                  <a:ln>
                    <a:noFill/>
                  </a:ln>
                </pic:spPr>
              </pic:pic>
            </a:graphicData>
          </a:graphic>
        </wp:inline>
      </w:drawing>
    </w:r>
    <w:r>
      <w:t xml:space="preserve">   </w:t>
    </w:r>
    <w:r>
      <w:rPr>
        <w:noProof/>
      </w:rPr>
      <w:drawing>
        <wp:inline distT="0" distB="0" distL="0" distR="0" wp14:anchorId="1802441B" wp14:editId="29FB7F6D">
          <wp:extent cx="657225" cy="790575"/>
          <wp:effectExtent l="0" t="0" r="9525" b="9525"/>
          <wp:docPr id="1" name="Imagen 1" descr="esccp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cpEscud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E5BEF"/>
    <w:multiLevelType w:val="hybridMultilevel"/>
    <w:tmpl w:val="4D1A6F18"/>
    <w:lvl w:ilvl="0" w:tplc="3E3AA3C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E956F5"/>
    <w:multiLevelType w:val="hybridMultilevel"/>
    <w:tmpl w:val="62CEE1AC"/>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964"/>
    <w:rsid w:val="000F397C"/>
    <w:rsid w:val="001317D7"/>
    <w:rsid w:val="00532964"/>
    <w:rsid w:val="00E92BB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7859482B"/>
  <w15:chartTrackingRefBased/>
  <w15:docId w15:val="{DA5B553D-B552-4AA9-A31A-F8DE2EA7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2964"/>
    <w:pPr>
      <w:spacing w:after="0" w:line="240" w:lineRule="auto"/>
    </w:pPr>
    <w:rPr>
      <w:rFonts w:ascii="Garamond" w:eastAsia="Times New Roman" w:hAnsi="Garamond" w:cs="Arial Unicode MS"/>
      <w:color w:val="0000FF"/>
      <w:sz w:val="24"/>
      <w:szCs w:val="24"/>
      <w:lang w:val="es-ES" w:eastAsia="es-ES"/>
    </w:rPr>
  </w:style>
  <w:style w:type="paragraph" w:styleId="Ttulo1">
    <w:name w:val="heading 1"/>
    <w:basedOn w:val="Normal"/>
    <w:next w:val="Normal"/>
    <w:link w:val="Ttulo1Car"/>
    <w:qFormat/>
    <w:rsid w:val="00532964"/>
    <w:pPr>
      <w:keepNext/>
      <w:outlineLvl w:val="0"/>
    </w:pPr>
    <w:rPr>
      <w:rFonts w:ascii="Arial" w:hAnsi="Arial"/>
      <w:b/>
      <w:i/>
      <w:color w:val="000000"/>
      <w:sz w:val="22"/>
      <w:szCs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32964"/>
    <w:rPr>
      <w:rFonts w:ascii="Arial" w:eastAsia="Times New Roman" w:hAnsi="Arial" w:cs="Arial Unicode MS"/>
      <w:b/>
      <w:i/>
      <w:color w:val="000000"/>
      <w:u w:val="single"/>
      <w:lang w:val="es-ES" w:eastAsia="es-ES"/>
    </w:rPr>
  </w:style>
  <w:style w:type="paragraph" w:styleId="Textoindependiente">
    <w:name w:val="Body Text"/>
    <w:basedOn w:val="Normal"/>
    <w:link w:val="TextoindependienteCar"/>
    <w:rsid w:val="00532964"/>
    <w:pPr>
      <w:jc w:val="both"/>
    </w:pPr>
    <w:rPr>
      <w:rFonts w:ascii="Times New Roman" w:hAnsi="Times New Roman" w:cs="Times New Roman"/>
      <w:color w:val="auto"/>
      <w:szCs w:val="20"/>
    </w:rPr>
  </w:style>
  <w:style w:type="character" w:customStyle="1" w:styleId="TextoindependienteCar">
    <w:name w:val="Texto independiente Car"/>
    <w:basedOn w:val="Fuentedeprrafopredeter"/>
    <w:link w:val="Textoindependiente"/>
    <w:rsid w:val="00532964"/>
    <w:rPr>
      <w:rFonts w:ascii="Times New Roman" w:eastAsia="Times New Roman" w:hAnsi="Times New Roman" w:cs="Times New Roman"/>
      <w:sz w:val="24"/>
      <w:szCs w:val="20"/>
      <w:lang w:val="es-ES" w:eastAsia="es-ES"/>
    </w:rPr>
  </w:style>
  <w:style w:type="paragraph" w:styleId="Textoindependiente2">
    <w:name w:val="Body Text 2"/>
    <w:basedOn w:val="Normal"/>
    <w:link w:val="Textoindependiente2Car"/>
    <w:rsid w:val="00532964"/>
    <w:rPr>
      <w:rFonts w:ascii="Arial" w:hAnsi="Arial" w:cs="Arial"/>
      <w:color w:val="auto"/>
    </w:rPr>
  </w:style>
  <w:style w:type="character" w:customStyle="1" w:styleId="Textoindependiente2Car">
    <w:name w:val="Texto independiente 2 Car"/>
    <w:basedOn w:val="Fuentedeprrafopredeter"/>
    <w:link w:val="Textoindependiente2"/>
    <w:rsid w:val="00532964"/>
    <w:rPr>
      <w:rFonts w:ascii="Arial" w:eastAsia="Times New Roman" w:hAnsi="Arial" w:cs="Arial"/>
      <w:sz w:val="24"/>
      <w:szCs w:val="24"/>
      <w:lang w:val="es-ES" w:eastAsia="es-ES"/>
    </w:rPr>
  </w:style>
  <w:style w:type="paragraph" w:styleId="Encabezado">
    <w:name w:val="header"/>
    <w:basedOn w:val="Normal"/>
    <w:link w:val="EncabezadoCar"/>
    <w:rsid w:val="00532964"/>
    <w:pPr>
      <w:tabs>
        <w:tab w:val="center" w:pos="4252"/>
        <w:tab w:val="right" w:pos="8504"/>
      </w:tabs>
    </w:pPr>
  </w:style>
  <w:style w:type="character" w:customStyle="1" w:styleId="EncabezadoCar">
    <w:name w:val="Encabezado Car"/>
    <w:basedOn w:val="Fuentedeprrafopredeter"/>
    <w:link w:val="Encabezado"/>
    <w:rsid w:val="00532964"/>
    <w:rPr>
      <w:rFonts w:ascii="Garamond" w:eastAsia="Times New Roman" w:hAnsi="Garamond" w:cs="Arial Unicode MS"/>
      <w:color w:val="0000F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1629</Words>
  <Characters>8963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rey</dc:creator>
  <cp:keywords/>
  <dc:description/>
  <cp:lastModifiedBy>claudio rey</cp:lastModifiedBy>
  <cp:revision>2</cp:revision>
  <dcterms:created xsi:type="dcterms:W3CDTF">2018-03-29T15:55:00Z</dcterms:created>
  <dcterms:modified xsi:type="dcterms:W3CDTF">2018-04-04T17:13:00Z</dcterms:modified>
</cp:coreProperties>
</file>